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8406" w14:textId="77777777" w:rsidR="00932A17" w:rsidRPr="002B7AE6" w:rsidRDefault="00932A17" w:rsidP="00932A17">
      <w:pPr>
        <w:jc w:val="center"/>
        <w:rPr>
          <w:rFonts w:ascii="Arial" w:hAnsi="Arial" w:cs="Arial"/>
          <w:b/>
          <w:sz w:val="36"/>
        </w:rPr>
      </w:pPr>
      <w:r>
        <w:rPr>
          <w:noProof/>
        </w:rPr>
        <w:drawing>
          <wp:inline distT="0" distB="0" distL="0" distR="0" wp14:anchorId="534BECAC" wp14:editId="22C36F6F">
            <wp:extent cx="533090" cy="672669"/>
            <wp:effectExtent l="19050" t="0" r="310" b="0"/>
            <wp:docPr id="2" name="Imagem 1" descr="http://proex.ufpa.br/DIRETORIO/IMAGENS/logo_u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ex.ufpa.br/DIRETORIO/IMAGENS/logo_uf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87" cy="67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AE6">
        <w:rPr>
          <w:rFonts w:ascii="Arial" w:hAnsi="Arial" w:cs="Arial"/>
          <w:b/>
          <w:noProof/>
          <w:sz w:val="36"/>
        </w:rPr>
        <w:t xml:space="preserve"> </w:t>
      </w:r>
    </w:p>
    <w:p w14:paraId="7C36C70C" w14:textId="77777777" w:rsidR="00932A17" w:rsidRPr="007E0ACF" w:rsidRDefault="00932A17" w:rsidP="00932A17">
      <w:pPr>
        <w:tabs>
          <w:tab w:val="left" w:pos="6096"/>
        </w:tabs>
        <w:jc w:val="center"/>
        <w:rPr>
          <w:b/>
        </w:rPr>
      </w:pPr>
      <w:r w:rsidRPr="007E0ACF">
        <w:rPr>
          <w:b/>
        </w:rPr>
        <w:t>UNIVERSIDADE FEDERAL DO PARÁ</w:t>
      </w:r>
    </w:p>
    <w:p w14:paraId="5C7F14A3" w14:textId="77777777" w:rsidR="00932A17" w:rsidRPr="007E0ACF" w:rsidRDefault="00932A17" w:rsidP="00932A17">
      <w:pPr>
        <w:pBdr>
          <w:bottom w:val="single" w:sz="4" w:space="1" w:color="auto"/>
        </w:pBdr>
        <w:tabs>
          <w:tab w:val="left" w:pos="6096"/>
        </w:tabs>
        <w:jc w:val="center"/>
        <w:rPr>
          <w:b/>
        </w:rPr>
      </w:pPr>
      <w:r w:rsidRPr="007E0ACF">
        <w:rPr>
          <w:b/>
        </w:rPr>
        <w:t xml:space="preserve">CAMPUS UNIVERSITÁRIO DO TOCANTINS/ CAMETÁ </w:t>
      </w:r>
    </w:p>
    <w:p w14:paraId="1247A608" w14:textId="77777777" w:rsidR="00932A17" w:rsidRPr="007E0ACF" w:rsidRDefault="0032572A" w:rsidP="00932A17">
      <w:pPr>
        <w:pBdr>
          <w:bottom w:val="single" w:sz="4" w:space="1" w:color="auto"/>
        </w:pBdr>
        <w:tabs>
          <w:tab w:val="left" w:pos="6096"/>
        </w:tabs>
        <w:jc w:val="center"/>
        <w:rPr>
          <w:b/>
        </w:rPr>
      </w:pPr>
      <w:r w:rsidRPr="007E0ACF">
        <w:rPr>
          <w:b/>
        </w:rPr>
        <w:t xml:space="preserve">FACULDADE DE </w:t>
      </w:r>
      <w:r w:rsidR="00FE20A3" w:rsidRPr="007E0ACF">
        <w:rPr>
          <w:b/>
        </w:rPr>
        <w:t>CIENCIAS NATURAIS</w:t>
      </w:r>
      <w:r w:rsidRPr="007E0ACF">
        <w:rPr>
          <w:b/>
        </w:rPr>
        <w:t xml:space="preserve"> - FA</w:t>
      </w:r>
      <w:r w:rsidR="00FE20A3" w:rsidRPr="007E0ACF">
        <w:rPr>
          <w:b/>
        </w:rPr>
        <w:t>CIN</w:t>
      </w:r>
    </w:p>
    <w:p w14:paraId="61B93B33" w14:textId="77777777" w:rsidR="00E25A63" w:rsidRPr="007E0ACF" w:rsidRDefault="00E25A63" w:rsidP="00E25A63">
      <w:pPr>
        <w:pStyle w:val="SemEspaamento"/>
        <w:rPr>
          <w:rFonts w:ascii="Times New Roman" w:hAnsi="Times New Roman" w:cs="Times New Roman"/>
          <w:sz w:val="24"/>
          <w:szCs w:val="24"/>
        </w:rPr>
        <w:sectPr w:rsidR="00E25A63" w:rsidRPr="007E0ACF" w:rsidSect="00F735EF">
          <w:pgSz w:w="11906" w:h="16838"/>
          <w:pgMar w:top="993" w:right="1133" w:bottom="1417" w:left="1276" w:header="708" w:footer="708" w:gutter="0"/>
          <w:cols w:space="708"/>
          <w:docGrid w:linePitch="360"/>
        </w:sectPr>
      </w:pPr>
    </w:p>
    <w:p w14:paraId="1A20F982" w14:textId="77777777" w:rsidR="00E25A63" w:rsidRPr="007E0ACF" w:rsidRDefault="00E25A63" w:rsidP="00E25A6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9BE9B9F" w14:textId="27D2681C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Forte"/>
          <w:color w:val="000000"/>
        </w:rPr>
      </w:pPr>
      <w:r w:rsidRPr="00753372">
        <w:rPr>
          <w:rStyle w:val="Forte"/>
          <w:color w:val="000000"/>
        </w:rPr>
        <w:t>OFÍCIO CIRCULAR 00</w:t>
      </w:r>
      <w:r w:rsidR="00753372" w:rsidRPr="00753372">
        <w:rPr>
          <w:rStyle w:val="Forte"/>
          <w:color w:val="000000"/>
        </w:rPr>
        <w:t>1</w:t>
      </w:r>
      <w:r w:rsidRPr="00753372">
        <w:rPr>
          <w:rStyle w:val="Forte"/>
          <w:color w:val="000000"/>
        </w:rPr>
        <w:t xml:space="preserve">/2022 </w:t>
      </w:r>
      <w:r w:rsidR="00753372" w:rsidRPr="00753372">
        <w:rPr>
          <w:rStyle w:val="Forte"/>
          <w:color w:val="000000"/>
        </w:rPr>
        <w:t>FACIN</w:t>
      </w:r>
      <w:r w:rsidRPr="00753372">
        <w:rPr>
          <w:rStyle w:val="Forte"/>
          <w:color w:val="000000"/>
        </w:rPr>
        <w:t>/</w:t>
      </w:r>
      <w:r w:rsidR="00753372" w:rsidRPr="00753372">
        <w:rPr>
          <w:rStyle w:val="Forte"/>
          <w:color w:val="000000"/>
        </w:rPr>
        <w:t>CUNTINS</w:t>
      </w:r>
      <w:r w:rsidRPr="00753372">
        <w:rPr>
          <w:rStyle w:val="Forte"/>
          <w:color w:val="000000"/>
        </w:rPr>
        <w:t>/UFPA</w:t>
      </w:r>
    </w:p>
    <w:p w14:paraId="4DF0C5C6" w14:textId="77777777" w:rsidR="00753372" w:rsidRDefault="00753372" w:rsidP="00EE10D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064E7C5" w14:textId="3B0CBEBB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000000"/>
        </w:rPr>
      </w:pPr>
      <w:r w:rsidRPr="00753372">
        <w:rPr>
          <w:color w:val="000000"/>
        </w:rPr>
        <w:t xml:space="preserve">Belém, </w:t>
      </w:r>
      <w:r w:rsidR="00CA4DBE">
        <w:rPr>
          <w:color w:val="000000"/>
        </w:rPr>
        <w:t>0</w:t>
      </w:r>
      <w:r w:rsidR="00132A26">
        <w:rPr>
          <w:color w:val="000000"/>
        </w:rPr>
        <w:t xml:space="preserve">8 </w:t>
      </w:r>
      <w:r w:rsidRPr="00753372">
        <w:rPr>
          <w:color w:val="000000"/>
        </w:rPr>
        <w:t xml:space="preserve">de </w:t>
      </w:r>
      <w:r w:rsidR="00CA4DBE">
        <w:rPr>
          <w:color w:val="000000"/>
        </w:rPr>
        <w:t>setembro</w:t>
      </w:r>
      <w:r w:rsidRPr="00753372">
        <w:rPr>
          <w:color w:val="000000"/>
        </w:rPr>
        <w:t xml:space="preserve"> de 2022.</w:t>
      </w:r>
    </w:p>
    <w:p w14:paraId="007E5836" w14:textId="77777777" w:rsidR="00753372" w:rsidRDefault="00753372" w:rsidP="00EE10D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1A1C5593" w14:textId="61270DA6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753372">
        <w:rPr>
          <w:color w:val="000000"/>
        </w:rPr>
        <w:t xml:space="preserve">Aos alunos e alunas da Faculdade de </w:t>
      </w:r>
      <w:r w:rsidR="00753372">
        <w:rPr>
          <w:color w:val="000000"/>
        </w:rPr>
        <w:t>Ciências Naturais</w:t>
      </w:r>
      <w:r w:rsidRPr="00753372">
        <w:rPr>
          <w:color w:val="000000"/>
        </w:rPr>
        <w:t xml:space="preserve"> (F</w:t>
      </w:r>
      <w:r w:rsidR="00753372">
        <w:rPr>
          <w:color w:val="000000"/>
        </w:rPr>
        <w:t>ACIN</w:t>
      </w:r>
      <w:r w:rsidRPr="00753372">
        <w:rPr>
          <w:color w:val="000000"/>
        </w:rPr>
        <w:t>)</w:t>
      </w:r>
    </w:p>
    <w:p w14:paraId="4C0B962F" w14:textId="6D186095" w:rsidR="00E57BB3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color w:val="000000"/>
        </w:rPr>
      </w:pPr>
      <w:r w:rsidRPr="00753372">
        <w:rPr>
          <w:color w:val="000000"/>
        </w:rPr>
        <w:t>Assunto: </w:t>
      </w:r>
      <w:r w:rsidRPr="00753372">
        <w:rPr>
          <w:rStyle w:val="Forte"/>
          <w:color w:val="000000"/>
        </w:rPr>
        <w:t>Informações sobre a INSTRUÇÃO NORMATIVA Nº 01/2022 –PROEG/UFPA</w:t>
      </w:r>
    </w:p>
    <w:p w14:paraId="5B3E2738" w14:textId="77777777" w:rsidR="00753372" w:rsidRPr="00753372" w:rsidRDefault="00753372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3229D526" w14:textId="0AB32086" w:rsidR="00753372" w:rsidRDefault="00753372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O</w:t>
      </w:r>
      <w:r w:rsidR="00E57BB3" w:rsidRPr="00753372">
        <w:rPr>
          <w:color w:val="000000"/>
        </w:rPr>
        <w:t xml:space="preserve"> colegiado da Faculdade </w:t>
      </w:r>
      <w:r>
        <w:rPr>
          <w:color w:val="000000"/>
        </w:rPr>
        <w:t>Ciências Naturais</w:t>
      </w:r>
      <w:r w:rsidR="00E57BB3" w:rsidRPr="00753372">
        <w:rPr>
          <w:color w:val="000000"/>
        </w:rPr>
        <w:t xml:space="preserve"> (F</w:t>
      </w:r>
      <w:r>
        <w:rPr>
          <w:color w:val="000000"/>
        </w:rPr>
        <w:t>ACIN</w:t>
      </w:r>
      <w:r w:rsidR="00E57BB3" w:rsidRPr="00753372">
        <w:rPr>
          <w:color w:val="000000"/>
        </w:rPr>
        <w:t xml:space="preserve">) </w:t>
      </w:r>
      <w:r w:rsidR="00360773" w:rsidRPr="00360773">
        <w:t>optou por aderir</w:t>
      </w:r>
      <w:r w:rsidR="00E57BB3" w:rsidRPr="00360773">
        <w:t xml:space="preserve"> parcialmente </w:t>
      </w:r>
      <w:r w:rsidR="00E57BB3" w:rsidRPr="00753372">
        <w:rPr>
          <w:color w:val="000000"/>
        </w:rPr>
        <w:t>à </w:t>
      </w:r>
      <w:hyperlink r:id="rId8" w:history="1">
        <w:r w:rsidR="00E57BB3" w:rsidRPr="00753372">
          <w:rPr>
            <w:rStyle w:val="Hyperlink"/>
            <w:color w:val="2D69BC"/>
          </w:rPr>
          <w:t>instrução normativa </w:t>
        </w:r>
      </w:hyperlink>
      <w:hyperlink r:id="rId9" w:history="1">
        <w:r w:rsidR="00E57BB3" w:rsidRPr="00753372">
          <w:rPr>
            <w:rStyle w:val="Hyperlink"/>
            <w:color w:val="2D69BC"/>
          </w:rPr>
          <w:t>Nº 01/2022 – PROEG/UFPA</w:t>
        </w:r>
      </w:hyperlink>
      <w:r w:rsidR="00E57BB3" w:rsidRPr="00753372">
        <w:rPr>
          <w:color w:val="000000"/>
        </w:rPr>
        <w:t> que dispõe, de forma excepcional e temporária, sobre as diretrizes acadêmicas para a normatização e realização das atividades do Trabalho de Conclusão de Curso (TCC) até 2022.4.</w:t>
      </w:r>
    </w:p>
    <w:p w14:paraId="14F363F6" w14:textId="77777777" w:rsidR="00EE10DB" w:rsidRPr="00EE10DB" w:rsidRDefault="00EE10DB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32F9054" w14:textId="5FDCC4A1" w:rsidR="00753372" w:rsidRPr="00EE10DB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53372">
        <w:rPr>
          <w:color w:val="000000"/>
        </w:rPr>
        <w:t>Considerando a referida instrução normativa, ficou decidido que os TCCs poderiam ser integralizados mediante aprovação por parte de uma</w:t>
      </w:r>
      <w:r w:rsidRPr="00753372">
        <w:rPr>
          <w:rStyle w:val="Forte"/>
          <w:color w:val="000000"/>
        </w:rPr>
        <w:t> banca de avaliação, a partir de apresentação</w:t>
      </w:r>
      <w:r w:rsidR="00447574">
        <w:rPr>
          <w:rStyle w:val="Forte"/>
          <w:color w:val="000000"/>
        </w:rPr>
        <w:t xml:space="preserve"> e</w:t>
      </w:r>
      <w:r w:rsidR="000E71CA">
        <w:rPr>
          <w:rStyle w:val="Forte"/>
          <w:color w:val="000000"/>
        </w:rPr>
        <w:t xml:space="preserve"> </w:t>
      </w:r>
      <w:r w:rsidRPr="00753372">
        <w:rPr>
          <w:rStyle w:val="Forte"/>
          <w:color w:val="000000"/>
        </w:rPr>
        <w:t>comprovações citadas na instrução normativa</w:t>
      </w:r>
      <w:r w:rsidRPr="00753372">
        <w:rPr>
          <w:color w:val="000000"/>
        </w:rPr>
        <w:t> de um dos itens presentes no Art. 4º da referida instrução normativa, excetuando o</w:t>
      </w:r>
      <w:r w:rsidR="00CA4DBE">
        <w:rPr>
          <w:color w:val="000000"/>
        </w:rPr>
        <w:t>s</w:t>
      </w:r>
      <w:r w:rsidRPr="00753372">
        <w:rPr>
          <w:color w:val="000000"/>
        </w:rPr>
        <w:t xml:space="preserve"> ite</w:t>
      </w:r>
      <w:r w:rsidR="00CA4DBE">
        <w:rPr>
          <w:color w:val="000000"/>
        </w:rPr>
        <w:t xml:space="preserve">ns VI, VII, </w:t>
      </w:r>
      <w:r w:rsidRPr="00753372">
        <w:rPr>
          <w:color w:val="000000"/>
        </w:rPr>
        <w:t>VIII</w:t>
      </w:r>
      <w:r w:rsidR="00CA4DBE">
        <w:rPr>
          <w:color w:val="000000"/>
        </w:rPr>
        <w:t xml:space="preserve"> e IX</w:t>
      </w:r>
      <w:r w:rsidRPr="00753372">
        <w:rPr>
          <w:color w:val="000000"/>
        </w:rPr>
        <w:t>:</w:t>
      </w:r>
    </w:p>
    <w:p w14:paraId="6FFA3FA8" w14:textId="77777777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753372">
        <w:rPr>
          <w:color w:val="000000"/>
        </w:rPr>
        <w:t>I.    Elaboração de texto científico na forma de resumo expandido, artigo científico, resenha, memorial formativo;</w:t>
      </w:r>
    </w:p>
    <w:p w14:paraId="6E690837" w14:textId="77777777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753372">
        <w:rPr>
          <w:color w:val="000000"/>
        </w:rPr>
        <w:t>II.  Apresentação e/ou publicação de trabalho em evento técnico-científico, com autoria individual ou coautoria, com certificação;</w:t>
      </w:r>
    </w:p>
    <w:p w14:paraId="4E6D0D4E" w14:textId="77777777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753372">
        <w:rPr>
          <w:color w:val="000000"/>
        </w:rPr>
        <w:t>III. Publicação ou aceite de publicação de artigo em periódico científico qualificado, adequado;</w:t>
      </w:r>
    </w:p>
    <w:p w14:paraId="48A455C2" w14:textId="77777777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753372">
        <w:rPr>
          <w:color w:val="000000"/>
        </w:rPr>
        <w:t>IV. Submissão de artigo científico em periódico qualificado em coautoria ou não com um(a) docente da UFPA;</w:t>
      </w:r>
    </w:p>
    <w:p w14:paraId="637AC6F2" w14:textId="77777777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753372">
        <w:rPr>
          <w:color w:val="000000"/>
        </w:rPr>
        <w:t>V.  Autoria ou coautoria de capítulo de livro com comitê editorial;</w:t>
      </w:r>
    </w:p>
    <w:p w14:paraId="782F1916" w14:textId="5C679447" w:rsidR="00E57BB3" w:rsidRPr="00CA4DBE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trike/>
          <w:color w:val="000000"/>
        </w:rPr>
      </w:pPr>
      <w:r w:rsidRPr="00CA4DBE">
        <w:rPr>
          <w:strike/>
          <w:color w:val="000000"/>
        </w:rPr>
        <w:t>VI. Relatório de participação em projeto de pesquisa com cumprimento integral do plano de iniciação científica anual concluído (PIBIC e PI</w:t>
      </w:r>
      <w:r w:rsidR="008170E2" w:rsidRPr="00CA4DBE">
        <w:rPr>
          <w:strike/>
          <w:color w:val="000000"/>
        </w:rPr>
        <w:t>VIC</w:t>
      </w:r>
      <w:r w:rsidRPr="00CA4DBE">
        <w:rPr>
          <w:strike/>
          <w:color w:val="000000"/>
        </w:rPr>
        <w:t>) na condição de bolsista ou voluntário(a), </w:t>
      </w:r>
      <w:r w:rsidRPr="00CA4DBE">
        <w:rPr>
          <w:rStyle w:val="Forte"/>
          <w:strike/>
          <w:color w:val="000000"/>
        </w:rPr>
        <w:t>desde que essa atividade não tenha sido utilizada para crédito de outra componente curricular;</w:t>
      </w:r>
    </w:p>
    <w:p w14:paraId="41E265C4" w14:textId="77777777" w:rsidR="00E57BB3" w:rsidRPr="00CA4DBE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trike/>
          <w:color w:val="000000"/>
        </w:rPr>
      </w:pPr>
      <w:r w:rsidRPr="00CA4DBE">
        <w:rPr>
          <w:strike/>
          <w:color w:val="000000"/>
        </w:rPr>
        <w:t>VII. Relatório de participação em projeto de extensão com plano de trabalho anual concluído (PIBEX), na condição de bolsista ou voluntário(a),</w:t>
      </w:r>
      <w:r w:rsidRPr="00CA4DBE">
        <w:rPr>
          <w:rStyle w:val="Forte"/>
          <w:strike/>
          <w:color w:val="000000"/>
        </w:rPr>
        <w:t> desde que essa atividade não tenha sido utilizada para crédito de outra componente curricular</w:t>
      </w:r>
    </w:p>
    <w:p w14:paraId="2566E4F3" w14:textId="77777777" w:rsidR="00E57BB3" w:rsidRPr="00753372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753372">
        <w:rPr>
          <w:strike/>
          <w:color w:val="000000"/>
        </w:rPr>
        <w:lastRenderedPageBreak/>
        <w:t>VIII. Produção Audiovisual;</w:t>
      </w:r>
    </w:p>
    <w:p w14:paraId="776A0276" w14:textId="77777777" w:rsidR="00E57BB3" w:rsidRPr="00CA4DBE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trike/>
          <w:color w:val="000000"/>
        </w:rPr>
      </w:pPr>
      <w:r w:rsidRPr="00CA4DBE">
        <w:rPr>
          <w:strike/>
          <w:color w:val="000000"/>
        </w:rPr>
        <w:t>IX. Relatório de projetos especiais ou de projeto de intervenção.</w:t>
      </w:r>
    </w:p>
    <w:p w14:paraId="46A9BF03" w14:textId="77777777" w:rsidR="009316CB" w:rsidRDefault="009316CB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88B38A1" w14:textId="59809AE2" w:rsidR="009316CB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53372">
        <w:rPr>
          <w:color w:val="000000"/>
        </w:rPr>
        <w:t>Na própria instrução normativa, há informações dos documentos comprobatórios para cada item, os quais devem ser entregues para a banca examinadora que será definida em conjunto pelo(a) orientador(a) do trabalho e o(a) discente.</w:t>
      </w:r>
    </w:p>
    <w:p w14:paraId="35C2BC00" w14:textId="77777777" w:rsidR="00EE10DB" w:rsidRPr="00EE10DB" w:rsidRDefault="00EE10DB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06297086" w14:textId="0D6F49D8" w:rsidR="00493EAF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53372">
        <w:rPr>
          <w:color w:val="000000"/>
        </w:rPr>
        <w:t>Considerando o Art. 3° da referida instrução normativa, que indica possível flexibilização para a realização da atividade de forma individual ou conjunta, esclarece-se aqui que os trabalhos ainda devem ser</w:t>
      </w:r>
      <w:r w:rsidRPr="00753372">
        <w:rPr>
          <w:rStyle w:val="Forte"/>
          <w:color w:val="000000"/>
        </w:rPr>
        <w:t> individuais</w:t>
      </w:r>
      <w:r w:rsidRPr="00753372">
        <w:rPr>
          <w:color w:val="000000"/>
        </w:rPr>
        <w:t xml:space="preserve">, de acordo com </w:t>
      </w:r>
      <w:r w:rsidR="009316CB">
        <w:rPr>
          <w:color w:val="000000"/>
        </w:rPr>
        <w:t>o Projeto Pedagógico</w:t>
      </w:r>
      <w:r w:rsidRPr="00753372">
        <w:rPr>
          <w:color w:val="000000"/>
        </w:rPr>
        <w:t xml:space="preserve"> que estabelece as diretrizes para a elaboração de Trabalhos de Conclusão de Curso dos discentes do curso de </w:t>
      </w:r>
      <w:r w:rsidR="009316CB">
        <w:rPr>
          <w:color w:val="000000"/>
        </w:rPr>
        <w:t>Licenciatura em C</w:t>
      </w:r>
      <w:r w:rsidR="00F8188D">
        <w:rPr>
          <w:color w:val="000000"/>
        </w:rPr>
        <w:t>iências Naturais do CUNTINS.</w:t>
      </w:r>
    </w:p>
    <w:p w14:paraId="0170A543" w14:textId="77777777" w:rsidR="00EE10DB" w:rsidRDefault="00EE10DB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0ED142B1" w14:textId="6C9E9E29" w:rsidR="00114681" w:rsidRDefault="00493EAF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Considerando </w:t>
      </w:r>
      <w:r w:rsidR="001771C6">
        <w:rPr>
          <w:color w:val="000000"/>
        </w:rPr>
        <w:t>o dispo</w:t>
      </w:r>
      <w:r w:rsidR="00CF2684">
        <w:rPr>
          <w:color w:val="000000"/>
        </w:rPr>
        <w:t>sto no</w:t>
      </w:r>
      <w:r w:rsidR="001771C6">
        <w:rPr>
          <w:color w:val="000000"/>
        </w:rPr>
        <w:t xml:space="preserve"> </w:t>
      </w:r>
      <w:r w:rsidR="00ED030C">
        <w:rPr>
          <w:color w:val="000000"/>
        </w:rPr>
        <w:t>Art. 9</w:t>
      </w:r>
      <w:r w:rsidR="00114681">
        <w:rPr>
          <w:color w:val="000000"/>
        </w:rPr>
        <w:t>º</w:t>
      </w:r>
      <w:r w:rsidR="001771C6">
        <w:rPr>
          <w:color w:val="000000"/>
        </w:rPr>
        <w:t xml:space="preserve"> </w:t>
      </w:r>
      <w:r w:rsidR="00ED030C">
        <w:rPr>
          <w:color w:val="000000"/>
        </w:rPr>
        <w:t xml:space="preserve">que recomenda que a defesa </w:t>
      </w:r>
      <w:r w:rsidR="001771C6">
        <w:rPr>
          <w:color w:val="000000"/>
        </w:rPr>
        <w:t xml:space="preserve">do TCC </w:t>
      </w:r>
      <w:r w:rsidR="00ED030C">
        <w:rPr>
          <w:color w:val="000000"/>
        </w:rPr>
        <w:t>seja facultativa</w:t>
      </w:r>
      <w:r w:rsidR="00521967">
        <w:rPr>
          <w:color w:val="000000"/>
        </w:rPr>
        <w:t xml:space="preserve"> e</w:t>
      </w:r>
      <w:r w:rsidR="001771C6">
        <w:rPr>
          <w:color w:val="000000"/>
        </w:rPr>
        <w:t xml:space="preserve"> </w:t>
      </w:r>
      <w:r w:rsidR="00CF2684">
        <w:rPr>
          <w:color w:val="000000"/>
        </w:rPr>
        <w:t>n</w:t>
      </w:r>
      <w:r w:rsidR="001771C6">
        <w:rPr>
          <w:color w:val="000000"/>
        </w:rPr>
        <w:t>o</w:t>
      </w:r>
      <w:r w:rsidR="00CF2684">
        <w:rPr>
          <w:color w:val="000000"/>
        </w:rPr>
        <w:t xml:space="preserve"> </w:t>
      </w:r>
      <w:r w:rsidR="001771C6">
        <w:rPr>
          <w:color w:val="000000"/>
        </w:rPr>
        <w:t>Art. 10</w:t>
      </w:r>
      <w:r w:rsidR="00114681">
        <w:rPr>
          <w:color w:val="000000"/>
        </w:rPr>
        <w:t>º</w:t>
      </w:r>
      <w:r w:rsidR="00521967">
        <w:rPr>
          <w:color w:val="000000"/>
        </w:rPr>
        <w:t xml:space="preserve"> </w:t>
      </w:r>
      <w:r w:rsidR="001771C6">
        <w:rPr>
          <w:color w:val="000000"/>
        </w:rPr>
        <w:t xml:space="preserve">que trata da </w:t>
      </w:r>
      <w:r w:rsidR="00521967">
        <w:rPr>
          <w:color w:val="000000"/>
        </w:rPr>
        <w:t>avaliação das atividades submetidas a crédito do TCC</w:t>
      </w:r>
      <w:r w:rsidR="00ED030C">
        <w:rPr>
          <w:color w:val="000000"/>
        </w:rPr>
        <w:t xml:space="preserve">, </w:t>
      </w:r>
      <w:r w:rsidR="00CF2684">
        <w:rPr>
          <w:color w:val="000000"/>
        </w:rPr>
        <w:t xml:space="preserve">na instrução normativa, </w:t>
      </w:r>
      <w:r w:rsidR="00ED030C">
        <w:rPr>
          <w:color w:val="000000"/>
        </w:rPr>
        <w:t xml:space="preserve">esclarece-se aqui que </w:t>
      </w:r>
      <w:r w:rsidR="00E33968">
        <w:rPr>
          <w:color w:val="000000"/>
        </w:rPr>
        <w:t xml:space="preserve">estão dispensados de </w:t>
      </w:r>
      <w:r w:rsidR="00ED030C">
        <w:rPr>
          <w:color w:val="000000"/>
        </w:rPr>
        <w:t xml:space="preserve">defesa </w:t>
      </w:r>
      <w:r w:rsidR="00E33968">
        <w:rPr>
          <w:color w:val="000000"/>
        </w:rPr>
        <w:t xml:space="preserve">aqueles </w:t>
      </w:r>
      <w:r w:rsidR="00ED030C">
        <w:rPr>
          <w:color w:val="000000"/>
        </w:rPr>
        <w:t xml:space="preserve">discentes que solicitarem </w:t>
      </w:r>
      <w:r w:rsidR="00E33968">
        <w:rPr>
          <w:color w:val="000000"/>
        </w:rPr>
        <w:t xml:space="preserve">obtenção do crédito em TCC pelo cumprimento </w:t>
      </w:r>
      <w:r w:rsidR="005B5A42">
        <w:rPr>
          <w:color w:val="000000"/>
        </w:rPr>
        <w:t xml:space="preserve">dos itens </w:t>
      </w:r>
      <w:r w:rsidR="005B5A42" w:rsidRPr="00753372">
        <w:rPr>
          <w:color w:val="000000"/>
        </w:rPr>
        <w:t>presentes no Art. 4º da instrução normativa, excetuando o</w:t>
      </w:r>
      <w:r w:rsidR="005B5A42">
        <w:rPr>
          <w:color w:val="000000"/>
        </w:rPr>
        <w:t>s</w:t>
      </w:r>
      <w:r w:rsidR="005B5A42" w:rsidRPr="00753372">
        <w:rPr>
          <w:color w:val="000000"/>
        </w:rPr>
        <w:t xml:space="preserve"> ite</w:t>
      </w:r>
      <w:r w:rsidR="005B5A42">
        <w:rPr>
          <w:color w:val="000000"/>
        </w:rPr>
        <w:t xml:space="preserve">ns VI, VII, </w:t>
      </w:r>
      <w:r w:rsidR="005B5A42" w:rsidRPr="00753372">
        <w:rPr>
          <w:color w:val="000000"/>
        </w:rPr>
        <w:t>VIII</w:t>
      </w:r>
      <w:r w:rsidR="005B5A42">
        <w:rPr>
          <w:color w:val="000000"/>
        </w:rPr>
        <w:t xml:space="preserve"> e IX</w:t>
      </w:r>
      <w:r w:rsidR="005B5A42">
        <w:rPr>
          <w:color w:val="000000"/>
        </w:rPr>
        <w:t xml:space="preserve">. Nesses casos a avaliação </w:t>
      </w:r>
      <w:r w:rsidR="00521967">
        <w:rPr>
          <w:color w:val="000000"/>
        </w:rPr>
        <w:t>será</w:t>
      </w:r>
      <w:r w:rsidR="005B5A42">
        <w:rPr>
          <w:color w:val="000000"/>
        </w:rPr>
        <w:t xml:space="preserve"> limitada </w:t>
      </w:r>
      <w:r w:rsidR="00521967">
        <w:rPr>
          <w:color w:val="000000"/>
        </w:rPr>
        <w:t>à emissão, pelos membros da banca examinadora,</w:t>
      </w:r>
      <w:r w:rsidR="002E6C63">
        <w:rPr>
          <w:color w:val="000000"/>
        </w:rPr>
        <w:t xml:space="preserve"> de parecer </w:t>
      </w:r>
      <w:r w:rsidR="00447574">
        <w:rPr>
          <w:color w:val="000000"/>
        </w:rPr>
        <w:t>com status da aprovação do</w:t>
      </w:r>
      <w:r w:rsidR="002E6C63">
        <w:rPr>
          <w:color w:val="000000"/>
        </w:rPr>
        <w:t xml:space="preserve"> tipo de produção acadêmica indicada pelo (a) discente (a).</w:t>
      </w:r>
    </w:p>
    <w:p w14:paraId="1C267346" w14:textId="0A20F8F5" w:rsidR="00114681" w:rsidRDefault="00114681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DFB8F25" w14:textId="4C67C1D3" w:rsidR="00114681" w:rsidRDefault="00114681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Solicitamos </w:t>
      </w:r>
      <w:r w:rsidR="000B2315">
        <w:rPr>
          <w:color w:val="000000"/>
        </w:rPr>
        <w:t>ATENÇÂO</w:t>
      </w:r>
      <w:r w:rsidR="00B51A70">
        <w:rPr>
          <w:color w:val="000000"/>
        </w:rPr>
        <w:t xml:space="preserve"> </w:t>
      </w:r>
      <w:r w:rsidR="00234456">
        <w:rPr>
          <w:color w:val="000000"/>
        </w:rPr>
        <w:t xml:space="preserve">em relação aos ANEXOS I e II que apresentam o </w:t>
      </w:r>
      <w:r w:rsidR="00B51A70">
        <w:rPr>
          <w:color w:val="000000"/>
        </w:rPr>
        <w:t xml:space="preserve">requerimento para solicitação de crédito de TCC e </w:t>
      </w:r>
      <w:r w:rsidR="00234456">
        <w:rPr>
          <w:color w:val="000000"/>
        </w:rPr>
        <w:t xml:space="preserve">os </w:t>
      </w:r>
      <w:r>
        <w:rPr>
          <w:color w:val="000000"/>
        </w:rPr>
        <w:t xml:space="preserve">documentos </w:t>
      </w:r>
      <w:r w:rsidR="000B2315">
        <w:rPr>
          <w:color w:val="000000"/>
        </w:rPr>
        <w:t>necessários à comprovação das atividades descritas no Art. 4º.</w:t>
      </w:r>
      <w:r w:rsidR="00B51A70">
        <w:rPr>
          <w:color w:val="000000"/>
        </w:rPr>
        <w:t xml:space="preserve"> </w:t>
      </w:r>
    </w:p>
    <w:p w14:paraId="036B56AA" w14:textId="77777777" w:rsidR="00114681" w:rsidRDefault="00114681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D53436E" w14:textId="5B47B267" w:rsidR="00895743" w:rsidRDefault="00E57BB3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53372">
        <w:rPr>
          <w:color w:val="000000"/>
        </w:rPr>
        <w:t>Os demais procedimentos de solicitação de matrícula em TCC</w:t>
      </w:r>
      <w:r w:rsidR="00F8188D">
        <w:rPr>
          <w:color w:val="000000"/>
        </w:rPr>
        <w:t xml:space="preserve"> e </w:t>
      </w:r>
      <w:r w:rsidRPr="00753372">
        <w:rPr>
          <w:color w:val="000000"/>
        </w:rPr>
        <w:t>lançamento de conceito pelo(a) orientador(a) permanecem os mesmos</w:t>
      </w:r>
      <w:r w:rsidR="00F8188D">
        <w:rPr>
          <w:color w:val="000000"/>
        </w:rPr>
        <w:t xml:space="preserve">. </w:t>
      </w:r>
      <w:r w:rsidRPr="00753372">
        <w:rPr>
          <w:color w:val="000000"/>
        </w:rPr>
        <w:t>Em caso de dúvida, procure a secretaria ou direção da F</w:t>
      </w:r>
      <w:r w:rsidR="009316CB">
        <w:rPr>
          <w:color w:val="000000"/>
        </w:rPr>
        <w:t>ACIN</w:t>
      </w:r>
      <w:r w:rsidRPr="00753372">
        <w:rPr>
          <w:color w:val="000000"/>
        </w:rPr>
        <w:t>.</w:t>
      </w:r>
    </w:p>
    <w:p w14:paraId="6893F906" w14:textId="0FC552B2" w:rsidR="00EE10DB" w:rsidRDefault="00EE10DB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0021F47" w14:textId="77777777" w:rsidR="00EE10DB" w:rsidRPr="00ED3049" w:rsidRDefault="00EE10DB" w:rsidP="00EE10D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6E4E9DA9" w14:textId="77777777" w:rsidR="00895743" w:rsidRDefault="001775F8" w:rsidP="00EE10DB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3E96ACD9" wp14:editId="56E544D0">
            <wp:extent cx="1880558" cy="373525"/>
            <wp:effectExtent l="0" t="0" r="571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prof. Waldenira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08" cy="37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8046B" w14:textId="77777777" w:rsidR="007E0ACF" w:rsidRPr="00256D3E" w:rsidRDefault="007E0ACF" w:rsidP="00EE10DB">
      <w:pPr>
        <w:spacing w:line="360" w:lineRule="auto"/>
        <w:jc w:val="center"/>
        <w:rPr>
          <w:sz w:val="22"/>
          <w:szCs w:val="22"/>
        </w:rPr>
      </w:pPr>
      <w:r w:rsidRPr="00256D3E">
        <w:rPr>
          <w:sz w:val="22"/>
          <w:szCs w:val="22"/>
        </w:rPr>
        <w:t xml:space="preserve">Profa. Dra. Waldenira Mercedes Pereira Torres </w:t>
      </w:r>
    </w:p>
    <w:p w14:paraId="7D46372F" w14:textId="77777777" w:rsidR="00256D3E" w:rsidRPr="00256D3E" w:rsidRDefault="007E0ACF" w:rsidP="00EE10DB">
      <w:pPr>
        <w:spacing w:line="360" w:lineRule="auto"/>
        <w:jc w:val="center"/>
        <w:rPr>
          <w:sz w:val="22"/>
          <w:szCs w:val="22"/>
        </w:rPr>
      </w:pPr>
      <w:r w:rsidRPr="00256D3E">
        <w:rPr>
          <w:sz w:val="22"/>
          <w:szCs w:val="22"/>
        </w:rPr>
        <w:t xml:space="preserve">Diretora da Faculdade de Ciências Naturais FACIN/CUNTINS </w:t>
      </w:r>
    </w:p>
    <w:p w14:paraId="719104EA" w14:textId="07770D4F" w:rsidR="00895743" w:rsidRPr="00256D3E" w:rsidRDefault="007E0ACF" w:rsidP="00EE10DB">
      <w:pPr>
        <w:spacing w:line="360" w:lineRule="auto"/>
        <w:jc w:val="center"/>
        <w:rPr>
          <w:rFonts w:ascii="Arial" w:hAnsi="Arial" w:cs="Arial"/>
          <w:i/>
          <w:color w:val="1D1B11"/>
          <w:sz w:val="22"/>
          <w:szCs w:val="22"/>
        </w:rPr>
      </w:pPr>
      <w:r w:rsidRPr="00256D3E">
        <w:rPr>
          <w:sz w:val="22"/>
          <w:szCs w:val="22"/>
        </w:rPr>
        <w:t>Trav. Padre Antônio Franco, 2617-Matinha Cametá-Pará- CEP:68400-000-Fone:3781-1182/1258</w:t>
      </w:r>
    </w:p>
    <w:sectPr w:rsidR="00895743" w:rsidRPr="00256D3E" w:rsidSect="00EE10D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9C84" w14:textId="77777777" w:rsidR="00472B95" w:rsidRDefault="00472B95" w:rsidP="0032572A">
      <w:r>
        <w:separator/>
      </w:r>
    </w:p>
  </w:endnote>
  <w:endnote w:type="continuationSeparator" w:id="0">
    <w:p w14:paraId="00B6DE41" w14:textId="77777777" w:rsidR="00472B95" w:rsidRDefault="00472B95" w:rsidP="0032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2C8A" w14:textId="77777777" w:rsidR="00472B95" w:rsidRDefault="00472B95" w:rsidP="0032572A">
      <w:r>
        <w:separator/>
      </w:r>
    </w:p>
  </w:footnote>
  <w:footnote w:type="continuationSeparator" w:id="0">
    <w:p w14:paraId="61E108D9" w14:textId="77777777" w:rsidR="00472B95" w:rsidRDefault="00472B95" w:rsidP="0032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B0B"/>
    <w:multiLevelType w:val="hybridMultilevel"/>
    <w:tmpl w:val="63A2A8AE"/>
    <w:lvl w:ilvl="0" w:tplc="BF6899CE">
      <w:start w:val="1"/>
      <w:numFmt w:val="decimal"/>
      <w:lvlText w:val="%1."/>
      <w:lvlJc w:val="left"/>
      <w:pPr>
        <w:ind w:left="1260" w:hanging="90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33B"/>
    <w:multiLevelType w:val="hybridMultilevel"/>
    <w:tmpl w:val="01DEF2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B11792"/>
    <w:multiLevelType w:val="hybridMultilevel"/>
    <w:tmpl w:val="3E3E4832"/>
    <w:lvl w:ilvl="0" w:tplc="844AA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40001">
    <w:abstractNumId w:val="0"/>
  </w:num>
  <w:num w:numId="2" w16cid:durableId="293950041">
    <w:abstractNumId w:val="2"/>
  </w:num>
  <w:num w:numId="3" w16cid:durableId="198292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63"/>
    <w:rsid w:val="00006986"/>
    <w:rsid w:val="000070D0"/>
    <w:rsid w:val="00021CB2"/>
    <w:rsid w:val="0003608C"/>
    <w:rsid w:val="00047373"/>
    <w:rsid w:val="000506E9"/>
    <w:rsid w:val="00067A02"/>
    <w:rsid w:val="0007612D"/>
    <w:rsid w:val="000B2315"/>
    <w:rsid w:val="000C0B91"/>
    <w:rsid w:val="000D1E8F"/>
    <w:rsid w:val="000D2A1C"/>
    <w:rsid w:val="000E3C1D"/>
    <w:rsid w:val="000E71CA"/>
    <w:rsid w:val="00101278"/>
    <w:rsid w:val="0011224A"/>
    <w:rsid w:val="00114681"/>
    <w:rsid w:val="001325B5"/>
    <w:rsid w:val="00132A26"/>
    <w:rsid w:val="001334F5"/>
    <w:rsid w:val="00173F76"/>
    <w:rsid w:val="001771C6"/>
    <w:rsid w:val="001775F8"/>
    <w:rsid w:val="001B08A4"/>
    <w:rsid w:val="001B6EE5"/>
    <w:rsid w:val="001B7007"/>
    <w:rsid w:val="001C2ADA"/>
    <w:rsid w:val="001D08AA"/>
    <w:rsid w:val="001F7D6E"/>
    <w:rsid w:val="00205FA5"/>
    <w:rsid w:val="00212BC2"/>
    <w:rsid w:val="00213331"/>
    <w:rsid w:val="00234456"/>
    <w:rsid w:val="0024695D"/>
    <w:rsid w:val="00256D3E"/>
    <w:rsid w:val="002629ED"/>
    <w:rsid w:val="002670AF"/>
    <w:rsid w:val="002727C2"/>
    <w:rsid w:val="00273E73"/>
    <w:rsid w:val="002914B2"/>
    <w:rsid w:val="002A4E4E"/>
    <w:rsid w:val="002C02C8"/>
    <w:rsid w:val="002C52D9"/>
    <w:rsid w:val="002C5B44"/>
    <w:rsid w:val="002E6C63"/>
    <w:rsid w:val="003131CD"/>
    <w:rsid w:val="0032572A"/>
    <w:rsid w:val="00325FA9"/>
    <w:rsid w:val="00343C82"/>
    <w:rsid w:val="00360773"/>
    <w:rsid w:val="003714B5"/>
    <w:rsid w:val="00380B71"/>
    <w:rsid w:val="003D08FD"/>
    <w:rsid w:val="003D5DC2"/>
    <w:rsid w:val="003E0666"/>
    <w:rsid w:val="00413D4B"/>
    <w:rsid w:val="00416A38"/>
    <w:rsid w:val="004222B2"/>
    <w:rsid w:val="00447574"/>
    <w:rsid w:val="004717D7"/>
    <w:rsid w:val="00472B95"/>
    <w:rsid w:val="004734C5"/>
    <w:rsid w:val="00486A97"/>
    <w:rsid w:val="00493BBE"/>
    <w:rsid w:val="00493EAF"/>
    <w:rsid w:val="00494DBB"/>
    <w:rsid w:val="004A7A64"/>
    <w:rsid w:val="004C41B3"/>
    <w:rsid w:val="004F03ED"/>
    <w:rsid w:val="00521967"/>
    <w:rsid w:val="00521AD6"/>
    <w:rsid w:val="00522554"/>
    <w:rsid w:val="00542708"/>
    <w:rsid w:val="0056302B"/>
    <w:rsid w:val="00572C87"/>
    <w:rsid w:val="005754B0"/>
    <w:rsid w:val="00582080"/>
    <w:rsid w:val="005869F6"/>
    <w:rsid w:val="005965E5"/>
    <w:rsid w:val="005A7418"/>
    <w:rsid w:val="005B5A42"/>
    <w:rsid w:val="005C52D3"/>
    <w:rsid w:val="005E689F"/>
    <w:rsid w:val="005F04A3"/>
    <w:rsid w:val="005F2C11"/>
    <w:rsid w:val="005F628C"/>
    <w:rsid w:val="005F67EA"/>
    <w:rsid w:val="00633CF2"/>
    <w:rsid w:val="006414F4"/>
    <w:rsid w:val="006646C8"/>
    <w:rsid w:val="0068671A"/>
    <w:rsid w:val="00693305"/>
    <w:rsid w:val="006B1F5D"/>
    <w:rsid w:val="006B62F4"/>
    <w:rsid w:val="006E1026"/>
    <w:rsid w:val="00705CCA"/>
    <w:rsid w:val="00705F64"/>
    <w:rsid w:val="0072633D"/>
    <w:rsid w:val="00752A14"/>
    <w:rsid w:val="00753372"/>
    <w:rsid w:val="00780B6F"/>
    <w:rsid w:val="00781477"/>
    <w:rsid w:val="00785F57"/>
    <w:rsid w:val="007928B5"/>
    <w:rsid w:val="007A6173"/>
    <w:rsid w:val="007B02F6"/>
    <w:rsid w:val="007D786F"/>
    <w:rsid w:val="007E0ACF"/>
    <w:rsid w:val="007E4477"/>
    <w:rsid w:val="007E6E8F"/>
    <w:rsid w:val="008170E2"/>
    <w:rsid w:val="008214F7"/>
    <w:rsid w:val="0082334B"/>
    <w:rsid w:val="00842385"/>
    <w:rsid w:val="00846CCA"/>
    <w:rsid w:val="008938F0"/>
    <w:rsid w:val="00895743"/>
    <w:rsid w:val="008D3DBF"/>
    <w:rsid w:val="00906E4E"/>
    <w:rsid w:val="009108FF"/>
    <w:rsid w:val="00915763"/>
    <w:rsid w:val="009316CB"/>
    <w:rsid w:val="00932A17"/>
    <w:rsid w:val="00934B04"/>
    <w:rsid w:val="009406E4"/>
    <w:rsid w:val="00972D63"/>
    <w:rsid w:val="00973E1E"/>
    <w:rsid w:val="009757A1"/>
    <w:rsid w:val="00975A41"/>
    <w:rsid w:val="0098756D"/>
    <w:rsid w:val="00993C6C"/>
    <w:rsid w:val="009A1310"/>
    <w:rsid w:val="009A2C7F"/>
    <w:rsid w:val="009A3FFD"/>
    <w:rsid w:val="009C36A4"/>
    <w:rsid w:val="009C7525"/>
    <w:rsid w:val="009C7B7A"/>
    <w:rsid w:val="009E0787"/>
    <w:rsid w:val="009F1387"/>
    <w:rsid w:val="009F4342"/>
    <w:rsid w:val="009F6B33"/>
    <w:rsid w:val="00A077C9"/>
    <w:rsid w:val="00A10FC8"/>
    <w:rsid w:val="00A31936"/>
    <w:rsid w:val="00A320C7"/>
    <w:rsid w:val="00A4557F"/>
    <w:rsid w:val="00A45BA8"/>
    <w:rsid w:val="00A47D22"/>
    <w:rsid w:val="00A60092"/>
    <w:rsid w:val="00A64BC4"/>
    <w:rsid w:val="00A77025"/>
    <w:rsid w:val="00AB227C"/>
    <w:rsid w:val="00B00762"/>
    <w:rsid w:val="00B15C7E"/>
    <w:rsid w:val="00B51560"/>
    <w:rsid w:val="00B51A70"/>
    <w:rsid w:val="00B62B4A"/>
    <w:rsid w:val="00B6780A"/>
    <w:rsid w:val="00B70C01"/>
    <w:rsid w:val="00B92323"/>
    <w:rsid w:val="00B92867"/>
    <w:rsid w:val="00BB2B38"/>
    <w:rsid w:val="00BD247E"/>
    <w:rsid w:val="00C17F60"/>
    <w:rsid w:val="00C219BA"/>
    <w:rsid w:val="00C2778B"/>
    <w:rsid w:val="00C412E5"/>
    <w:rsid w:val="00C56F6B"/>
    <w:rsid w:val="00C71BF1"/>
    <w:rsid w:val="00C82676"/>
    <w:rsid w:val="00C900F8"/>
    <w:rsid w:val="00C9155F"/>
    <w:rsid w:val="00C960F4"/>
    <w:rsid w:val="00CA138A"/>
    <w:rsid w:val="00CA4DBE"/>
    <w:rsid w:val="00CA56A8"/>
    <w:rsid w:val="00CB3182"/>
    <w:rsid w:val="00CC6B0D"/>
    <w:rsid w:val="00CC7402"/>
    <w:rsid w:val="00CD2217"/>
    <w:rsid w:val="00CE2681"/>
    <w:rsid w:val="00CF2684"/>
    <w:rsid w:val="00D05028"/>
    <w:rsid w:val="00D15F16"/>
    <w:rsid w:val="00D24C8F"/>
    <w:rsid w:val="00D52354"/>
    <w:rsid w:val="00D73243"/>
    <w:rsid w:val="00DA1B1C"/>
    <w:rsid w:val="00DA3724"/>
    <w:rsid w:val="00DD119B"/>
    <w:rsid w:val="00DE5ABA"/>
    <w:rsid w:val="00DF195B"/>
    <w:rsid w:val="00E0474B"/>
    <w:rsid w:val="00E051D7"/>
    <w:rsid w:val="00E25701"/>
    <w:rsid w:val="00E25A63"/>
    <w:rsid w:val="00E33968"/>
    <w:rsid w:val="00E453E6"/>
    <w:rsid w:val="00E57BB3"/>
    <w:rsid w:val="00E61501"/>
    <w:rsid w:val="00E84EBA"/>
    <w:rsid w:val="00E914A8"/>
    <w:rsid w:val="00E930F2"/>
    <w:rsid w:val="00E95DD4"/>
    <w:rsid w:val="00E96A84"/>
    <w:rsid w:val="00EA19C2"/>
    <w:rsid w:val="00EA6B0A"/>
    <w:rsid w:val="00EC47EB"/>
    <w:rsid w:val="00ED030C"/>
    <w:rsid w:val="00ED3049"/>
    <w:rsid w:val="00ED3B61"/>
    <w:rsid w:val="00ED6D1D"/>
    <w:rsid w:val="00EE10DB"/>
    <w:rsid w:val="00EE1B90"/>
    <w:rsid w:val="00EE4FC0"/>
    <w:rsid w:val="00F02F3B"/>
    <w:rsid w:val="00F21AEC"/>
    <w:rsid w:val="00F2606F"/>
    <w:rsid w:val="00F556D1"/>
    <w:rsid w:val="00F762C4"/>
    <w:rsid w:val="00F8065E"/>
    <w:rsid w:val="00F8188D"/>
    <w:rsid w:val="00F823CC"/>
    <w:rsid w:val="00FD51D2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A912"/>
  <w15:docId w15:val="{3250EE3B-940A-41E1-A8B0-5563F2E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93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25A63"/>
    <w:pPr>
      <w:keepNext/>
      <w:jc w:val="both"/>
      <w:outlineLvl w:val="1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25A63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E25A63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E25A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25A63"/>
  </w:style>
  <w:style w:type="paragraph" w:styleId="Recuodecorpodetexto3">
    <w:name w:val="Body Text Indent 3"/>
    <w:basedOn w:val="Normal"/>
    <w:link w:val="Recuodecorpodetexto3Char"/>
    <w:rsid w:val="00E25A63"/>
    <w:pPr>
      <w:ind w:firstLine="1440"/>
      <w:jc w:val="both"/>
    </w:pPr>
    <w:rPr>
      <w:rFonts w:ascii="Tahoma" w:hAnsi="Tahoma" w:cs="Tahoma"/>
      <w:b/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E25A63"/>
    <w:rPr>
      <w:rFonts w:ascii="Tahoma" w:eastAsia="Times New Roman" w:hAnsi="Tahoma" w:cs="Tahoma"/>
      <w:b/>
      <w:bCs/>
      <w:color w:val="000000"/>
      <w:sz w:val="24"/>
      <w:szCs w:val="24"/>
      <w:lang w:eastAsia="pt-BR"/>
    </w:rPr>
  </w:style>
  <w:style w:type="paragraph" w:customStyle="1" w:styleId="Default">
    <w:name w:val="Default"/>
    <w:rsid w:val="00DA1B1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A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A1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629E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9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3C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3C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7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7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E268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717D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57B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57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g.ufpa.br/images/instrucoes-normativas/InstruoNormativa_001_2022_PROEG_TC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roeg.ufpa.br/images/instrucoes-normativas/InstruoNormativa_001_2022_PROEG_TCC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Jodilson</dc:creator>
  <cp:lastModifiedBy>Waldenira Torres</cp:lastModifiedBy>
  <cp:revision>20</cp:revision>
  <cp:lastPrinted>2016-04-19T22:57:00Z</cp:lastPrinted>
  <dcterms:created xsi:type="dcterms:W3CDTF">2022-08-30T11:55:00Z</dcterms:created>
  <dcterms:modified xsi:type="dcterms:W3CDTF">2022-09-08T20:52:00Z</dcterms:modified>
</cp:coreProperties>
</file>